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7C5" w:rsidRDefault="000847C5">
      <w:pPr>
        <w:pStyle w:val="Body"/>
        <w:rPr>
          <w:rFonts w:ascii="Verdana" w:hAnsi="Verdana"/>
          <w:b/>
          <w:bCs/>
        </w:rPr>
      </w:pPr>
    </w:p>
    <w:p w:rsidR="00FA70FA" w:rsidRDefault="00FA70FA">
      <w:pPr>
        <w:pStyle w:val="Body"/>
        <w:rPr>
          <w:rFonts w:ascii="Verdana" w:hAnsi="Verdana"/>
          <w:b/>
          <w:bCs/>
        </w:rPr>
      </w:pPr>
      <w:bookmarkStart w:id="0" w:name="_GoBack"/>
      <w:bookmarkEnd w:id="0"/>
    </w:p>
    <w:p w:rsidR="000847C5" w:rsidRDefault="003226F0">
      <w:pPr>
        <w:pStyle w:val="Body"/>
        <w:jc w:val="center"/>
        <w:rPr>
          <w:rFonts w:ascii="Verdana" w:hAnsi="Verdana"/>
          <w:b/>
          <w:bCs/>
          <w:sz w:val="28"/>
          <w:szCs w:val="28"/>
        </w:rPr>
      </w:pPr>
      <w:r>
        <w:rPr>
          <w:rFonts w:ascii="Verdana" w:hAnsi="Verdana"/>
          <w:b/>
          <w:bCs/>
          <w:sz w:val="28"/>
          <w:szCs w:val="28"/>
        </w:rPr>
        <w:t>Instructor Policy – Section 14</w:t>
      </w:r>
    </w:p>
    <w:p w:rsidR="003226F0" w:rsidRDefault="003226F0">
      <w:pPr>
        <w:pStyle w:val="Body"/>
        <w:jc w:val="center"/>
        <w:rPr>
          <w:rFonts w:ascii="Verdana" w:eastAsia="Verdana" w:hAnsi="Verdana" w:cs="Verdana"/>
          <w:b/>
          <w:bCs/>
          <w:sz w:val="28"/>
          <w:szCs w:val="28"/>
        </w:rPr>
      </w:pPr>
    </w:p>
    <w:p w:rsidR="003226F0" w:rsidRPr="003226F0" w:rsidRDefault="003226F0" w:rsidP="003226F0">
      <w:pPr>
        <w:pStyle w:val="Body"/>
        <w:spacing w:after="120"/>
        <w:rPr>
          <w:rFonts w:ascii="Verdana" w:hAnsi="Verdana"/>
        </w:rPr>
      </w:pPr>
      <w:r>
        <w:rPr>
          <w:rFonts w:ascii="Verdana" w:hAnsi="Verdana"/>
          <w:b/>
          <w:bCs/>
          <w:sz w:val="28"/>
          <w:szCs w:val="28"/>
        </w:rPr>
        <w:t xml:space="preserve">                          </w:t>
      </w:r>
      <w:r w:rsidR="00E9332D">
        <w:rPr>
          <w:rFonts w:ascii="Verdana" w:hAnsi="Verdana"/>
          <w:b/>
          <w:bCs/>
          <w:sz w:val="28"/>
          <w:szCs w:val="28"/>
        </w:rPr>
        <w:t xml:space="preserve">Math 129 </w:t>
      </w:r>
      <w:r>
        <w:rPr>
          <w:rFonts w:ascii="Verdana" w:hAnsi="Verdana"/>
          <w:b/>
          <w:bCs/>
          <w:sz w:val="28"/>
          <w:szCs w:val="28"/>
        </w:rPr>
        <w:t xml:space="preserve">- Calculus II - </w:t>
      </w:r>
      <w:proofErr w:type="gramStart"/>
      <w:r>
        <w:rPr>
          <w:rFonts w:ascii="Verdana" w:hAnsi="Verdana"/>
          <w:b/>
          <w:bCs/>
          <w:sz w:val="28"/>
          <w:szCs w:val="28"/>
        </w:rPr>
        <w:t>Fall</w:t>
      </w:r>
      <w:proofErr w:type="gramEnd"/>
      <w:r>
        <w:rPr>
          <w:rFonts w:ascii="Verdana" w:hAnsi="Verdana"/>
          <w:b/>
          <w:bCs/>
          <w:sz w:val="28"/>
          <w:szCs w:val="28"/>
        </w:rPr>
        <w:t xml:space="preserve"> 2019</w:t>
      </w:r>
      <w:r>
        <w:rPr>
          <w:rFonts w:ascii="Verdana" w:hAnsi="Verdana"/>
        </w:rPr>
        <w:t xml:space="preserve">     </w:t>
      </w:r>
    </w:p>
    <w:p w:rsidR="000847C5" w:rsidRDefault="000847C5">
      <w:pPr>
        <w:pStyle w:val="Body"/>
        <w:rPr>
          <w:rFonts w:ascii="Verdana" w:eastAsia="Verdana" w:hAnsi="Verdana" w:cs="Verdana"/>
          <w:b/>
          <w:bCs/>
        </w:rPr>
      </w:pPr>
    </w:p>
    <w:p w:rsidR="003226F0" w:rsidRDefault="00E9332D" w:rsidP="003226F0">
      <w:pPr>
        <w:pStyle w:val="Body"/>
        <w:spacing w:after="40"/>
        <w:rPr>
          <w:rFonts w:ascii="Verdana" w:hAnsi="Verdana"/>
          <w:b/>
          <w:bCs/>
          <w:sz w:val="24"/>
          <w:szCs w:val="24"/>
        </w:rPr>
      </w:pPr>
      <w:r>
        <w:rPr>
          <w:rFonts w:ascii="Verdana" w:hAnsi="Verdana"/>
          <w:b/>
          <w:bCs/>
          <w:sz w:val="24"/>
          <w:szCs w:val="24"/>
        </w:rPr>
        <w:t>Instructor and Contact Information</w:t>
      </w:r>
    </w:p>
    <w:p w:rsidR="00E94E46" w:rsidRPr="003226F0" w:rsidRDefault="00E94E46" w:rsidP="003226F0">
      <w:pPr>
        <w:pStyle w:val="Body"/>
        <w:spacing w:after="40"/>
        <w:rPr>
          <w:rFonts w:ascii="Verdana" w:hAnsi="Verdana"/>
          <w:b/>
          <w:bCs/>
          <w:sz w:val="24"/>
          <w:szCs w:val="24"/>
        </w:rPr>
      </w:pPr>
    </w:p>
    <w:p w:rsidR="003226F0" w:rsidRDefault="003226F0" w:rsidP="003226F0">
      <w:pPr>
        <w:pStyle w:val="Body"/>
        <w:spacing w:after="120"/>
        <w:ind w:left="360"/>
        <w:rPr>
          <w:rFonts w:ascii="Verdana" w:hAnsi="Verdana"/>
        </w:rPr>
      </w:pPr>
      <w:r>
        <w:rPr>
          <w:rFonts w:ascii="Verdana" w:hAnsi="Verdana"/>
        </w:rPr>
        <w:t>Location: Psych 305</w:t>
      </w:r>
    </w:p>
    <w:p w:rsidR="003226F0" w:rsidRDefault="003226F0" w:rsidP="003226F0">
      <w:pPr>
        <w:pStyle w:val="Body"/>
        <w:spacing w:after="120"/>
        <w:ind w:left="360"/>
        <w:rPr>
          <w:color w:val="0433FF"/>
        </w:rPr>
      </w:pPr>
      <w:r>
        <w:rPr>
          <w:rFonts w:ascii="Verdana" w:hAnsi="Verdana"/>
        </w:rPr>
        <w:t xml:space="preserve">Time: MWF 11:00-12:15 </w:t>
      </w:r>
      <w:r w:rsidR="00E9332D">
        <w:rPr>
          <w:rFonts w:ascii="Verdana" w:hAnsi="Verdana"/>
        </w:rPr>
        <w:t xml:space="preserve">Course Webpage: </w:t>
      </w:r>
      <w:hyperlink r:id="rId7" w:history="1">
        <w:r w:rsidR="00E9332D">
          <w:rPr>
            <w:rStyle w:val="Hyperlink0"/>
          </w:rPr>
          <w:t>https://math129.math.arizona.edu</w:t>
        </w:r>
      </w:hyperlink>
      <w:r w:rsidR="00E9332D">
        <w:rPr>
          <w:color w:val="0433FF"/>
        </w:rPr>
        <w:t xml:space="preserve"> </w:t>
      </w:r>
    </w:p>
    <w:p w:rsidR="003226F0" w:rsidRDefault="003226F0" w:rsidP="003226F0">
      <w:pPr>
        <w:pStyle w:val="Body"/>
        <w:spacing w:after="120"/>
        <w:rPr>
          <w:rFonts w:ascii="Verdana" w:hAnsi="Verdana"/>
        </w:rPr>
      </w:pPr>
      <w:r>
        <w:rPr>
          <w:rFonts w:ascii="Verdana" w:hAnsi="Verdana"/>
        </w:rPr>
        <w:t xml:space="preserve">     Instructor’s name: </w:t>
      </w:r>
      <w:proofErr w:type="spellStart"/>
      <w:r>
        <w:rPr>
          <w:rFonts w:ascii="Verdana" w:hAnsi="Verdana"/>
        </w:rPr>
        <w:t>Qiudong</w:t>
      </w:r>
      <w:proofErr w:type="spellEnd"/>
      <w:r>
        <w:rPr>
          <w:rFonts w:ascii="Verdana" w:hAnsi="Verdana"/>
        </w:rPr>
        <w:t>(Don) Wang</w:t>
      </w:r>
    </w:p>
    <w:p w:rsidR="003226F0" w:rsidRDefault="003226F0" w:rsidP="003226F0">
      <w:pPr>
        <w:pStyle w:val="Body"/>
        <w:spacing w:after="120"/>
        <w:rPr>
          <w:rFonts w:ascii="Verdana" w:hAnsi="Verdana"/>
        </w:rPr>
      </w:pPr>
      <w:r>
        <w:rPr>
          <w:rFonts w:ascii="Verdana" w:hAnsi="Verdana"/>
        </w:rPr>
        <w:t xml:space="preserve">     Email: </w:t>
      </w:r>
      <w:hyperlink r:id="rId8" w:history="1">
        <w:r w:rsidRPr="00D43F79">
          <w:rPr>
            <w:rStyle w:val="Hyperlink"/>
            <w:rFonts w:ascii="Verdana" w:hAnsi="Verdana"/>
          </w:rPr>
          <w:t>dwang@math.arizona.edu</w:t>
        </w:r>
      </w:hyperlink>
    </w:p>
    <w:p w:rsidR="003226F0" w:rsidRDefault="003226F0" w:rsidP="003226F0">
      <w:pPr>
        <w:pStyle w:val="Body"/>
        <w:spacing w:after="120"/>
        <w:rPr>
          <w:rFonts w:ascii="Verdana" w:hAnsi="Verdana"/>
        </w:rPr>
      </w:pPr>
      <w:r>
        <w:rPr>
          <w:rFonts w:ascii="Verdana" w:hAnsi="Verdana"/>
        </w:rPr>
        <w:t xml:space="preserve">     Phone: 621-8307</w:t>
      </w:r>
    </w:p>
    <w:p w:rsidR="003226F0" w:rsidRDefault="003226F0" w:rsidP="003226F0">
      <w:pPr>
        <w:pStyle w:val="Body"/>
        <w:spacing w:after="120"/>
        <w:rPr>
          <w:rFonts w:ascii="Verdana" w:hAnsi="Verdana"/>
        </w:rPr>
      </w:pPr>
      <w:r>
        <w:rPr>
          <w:rFonts w:ascii="Verdana" w:hAnsi="Verdana"/>
        </w:rPr>
        <w:t xml:space="preserve">     Office: Math 313</w:t>
      </w:r>
    </w:p>
    <w:p w:rsidR="003226F0" w:rsidRPr="003226F0" w:rsidRDefault="003226F0" w:rsidP="003226F0">
      <w:pPr>
        <w:pStyle w:val="Body"/>
        <w:spacing w:after="120"/>
        <w:rPr>
          <w:color w:val="0433FF"/>
        </w:rPr>
      </w:pPr>
      <w:r>
        <w:rPr>
          <w:rFonts w:ascii="Verdana" w:hAnsi="Verdana"/>
        </w:rPr>
        <w:t xml:space="preserve">     Office Hours: MWF: 10:00-10:50</w:t>
      </w:r>
    </w:p>
    <w:p w:rsidR="003226F0" w:rsidRPr="003226F0" w:rsidRDefault="003226F0" w:rsidP="003226F0">
      <w:pPr>
        <w:pStyle w:val="Body"/>
        <w:spacing w:after="120"/>
        <w:ind w:left="360"/>
        <w:rPr>
          <w:color w:val="0433FF"/>
        </w:rPr>
      </w:pPr>
      <w:r>
        <w:rPr>
          <w:rFonts w:ascii="Verdana" w:hAnsi="Verdana"/>
        </w:rPr>
        <w:t xml:space="preserve">Instructor’s Webpage: </w:t>
      </w:r>
      <w:r w:rsidRPr="003226F0">
        <w:rPr>
          <w:rStyle w:val="Hyperlink0"/>
        </w:rPr>
        <w:t>https://math129.math.arizona.edu/~dwang</w:t>
      </w:r>
    </w:p>
    <w:p w:rsidR="000847C5" w:rsidRPr="003226F0" w:rsidRDefault="003226F0" w:rsidP="003226F0">
      <w:pPr>
        <w:pStyle w:val="Body"/>
        <w:spacing w:after="120"/>
        <w:rPr>
          <w:rFonts w:ascii="Verdana" w:hAnsi="Verdana"/>
        </w:rPr>
      </w:pPr>
      <w:r>
        <w:rPr>
          <w:rFonts w:ascii="Verdana" w:eastAsia="Verdana" w:hAnsi="Verdana" w:cs="Verdana"/>
        </w:rPr>
        <w:t xml:space="preserve">     </w:t>
      </w:r>
      <w:r w:rsidR="00E9332D">
        <w:rPr>
          <w:rFonts w:ascii="Verdana" w:hAnsi="Verdana"/>
        </w:rPr>
        <w:t xml:space="preserve">Course materials will be delivered digitally via D2L through the Inclusive Access program. </w:t>
      </w:r>
      <w:r>
        <w:rPr>
          <w:rFonts w:ascii="Verdana" w:hAnsi="Verdana"/>
          <w:color w:val="FF2600"/>
        </w:rPr>
        <w:t xml:space="preserve"> </w:t>
      </w:r>
      <w:r>
        <w:rPr>
          <w:rFonts w:ascii="Verdana" w:hAnsi="Verdana"/>
        </w:rPr>
        <w:t xml:space="preserve"> </w:t>
      </w:r>
    </w:p>
    <w:p w:rsidR="000847C5" w:rsidRDefault="00E9332D" w:rsidP="00E94E46">
      <w:pPr>
        <w:pStyle w:val="Body"/>
        <w:ind w:left="360"/>
        <w:rPr>
          <w:rFonts w:ascii="Verdana" w:eastAsia="Verdana" w:hAnsi="Verdana" w:cs="Verdana"/>
        </w:rPr>
      </w:pPr>
      <w:r>
        <w:rPr>
          <w:rFonts w:ascii="Verdana" w:hAnsi="Verdana"/>
        </w:rPr>
        <w:t xml:space="preserve">A computer grading program called </w:t>
      </w:r>
      <w:proofErr w:type="spellStart"/>
      <w:r>
        <w:rPr>
          <w:rFonts w:ascii="Verdana" w:hAnsi="Verdana"/>
        </w:rPr>
        <w:t>WebAssign</w:t>
      </w:r>
      <w:proofErr w:type="spellEnd"/>
      <w:r>
        <w:rPr>
          <w:rFonts w:ascii="Verdana" w:hAnsi="Verdana"/>
        </w:rPr>
        <w:t xml:space="preserve"> will be used throughout the course</w:t>
      </w:r>
      <w:r w:rsidR="003226F0">
        <w:rPr>
          <w:rFonts w:ascii="Verdana" w:hAnsi="Verdana"/>
        </w:rPr>
        <w:t>.</w:t>
      </w:r>
      <w:r>
        <w:rPr>
          <w:rFonts w:ascii="Verdana" w:hAnsi="Verdana"/>
        </w:rPr>
        <w:t xml:space="preserve"> </w:t>
      </w:r>
      <w:proofErr w:type="spellStart"/>
      <w:r>
        <w:rPr>
          <w:rFonts w:ascii="Verdana" w:hAnsi="Verdana"/>
        </w:rPr>
        <w:t>WebAssign</w:t>
      </w:r>
      <w:proofErr w:type="spellEnd"/>
      <w:r>
        <w:rPr>
          <w:rFonts w:ascii="Verdana" w:hAnsi="Verdana"/>
        </w:rPr>
        <w:t xml:space="preserve"> will also serve as our course grade book. Please verify the accuracy of all homework, quiz, and exam scores in a timely fashion.</w:t>
      </w:r>
      <w:r>
        <w:rPr>
          <w:rFonts w:ascii="Arial Unicode MS" w:hAnsi="Arial Unicode MS"/>
        </w:rPr>
        <w:br/>
      </w:r>
      <w:r w:rsidR="00E94E46">
        <w:rPr>
          <w:rFonts w:ascii="Verdana" w:hAnsi="Verdana"/>
          <w:b/>
          <w:bCs/>
          <w:sz w:val="24"/>
          <w:szCs w:val="24"/>
        </w:rPr>
        <w:t xml:space="preserve"> </w:t>
      </w:r>
    </w:p>
    <w:p w:rsidR="000847C5" w:rsidRDefault="000847C5">
      <w:pPr>
        <w:pStyle w:val="Body"/>
        <w:ind w:left="360"/>
        <w:rPr>
          <w:rFonts w:ascii="Verdana" w:eastAsia="Verdana" w:hAnsi="Verdana" w:cs="Verdana"/>
        </w:rPr>
      </w:pPr>
    </w:p>
    <w:p w:rsidR="000847C5" w:rsidRDefault="00E9332D">
      <w:pPr>
        <w:pStyle w:val="Body"/>
        <w:spacing w:after="40"/>
        <w:ind w:left="720" w:hanging="720"/>
        <w:rPr>
          <w:rFonts w:ascii="Verdana" w:hAnsi="Verdana"/>
          <w:b/>
          <w:bCs/>
          <w:sz w:val="24"/>
          <w:szCs w:val="24"/>
        </w:rPr>
      </w:pPr>
      <w:r>
        <w:rPr>
          <w:rFonts w:ascii="Verdana" w:hAnsi="Verdana"/>
          <w:b/>
          <w:bCs/>
          <w:sz w:val="24"/>
          <w:szCs w:val="24"/>
        </w:rPr>
        <w:t>Course Prerequisites or Co-requisites</w:t>
      </w:r>
    </w:p>
    <w:p w:rsidR="00E94E46" w:rsidRDefault="00E94E46">
      <w:pPr>
        <w:pStyle w:val="Body"/>
        <w:spacing w:after="40"/>
        <w:ind w:left="720" w:hanging="720"/>
        <w:rPr>
          <w:rFonts w:ascii="Verdana" w:eastAsia="Verdana" w:hAnsi="Verdana" w:cs="Verdana"/>
          <w:b/>
          <w:bCs/>
          <w:sz w:val="24"/>
          <w:szCs w:val="24"/>
        </w:rPr>
      </w:pPr>
    </w:p>
    <w:p w:rsidR="000847C5" w:rsidRDefault="00E9332D">
      <w:pPr>
        <w:pStyle w:val="Body"/>
        <w:ind w:left="360"/>
        <w:rPr>
          <w:rFonts w:ascii="Verdana" w:eastAsia="Verdana" w:hAnsi="Verdana" w:cs="Verdana"/>
        </w:rPr>
      </w:pPr>
      <w:r>
        <w:rPr>
          <w:rFonts w:ascii="Verdana" w:hAnsi="Verdana"/>
        </w:rPr>
        <w:t>MATH 122B, 124, 125 or 129 with C or higher.</w:t>
      </w:r>
      <w:r>
        <w:rPr>
          <w:rFonts w:ascii="Arial Unicode MS" w:hAnsi="Arial Unicode MS"/>
        </w:rPr>
        <w:br/>
      </w:r>
    </w:p>
    <w:p w:rsidR="000847C5" w:rsidRDefault="00E9332D">
      <w:pPr>
        <w:pStyle w:val="Body"/>
        <w:spacing w:after="40"/>
        <w:ind w:left="720" w:hanging="720"/>
        <w:rPr>
          <w:rFonts w:ascii="Verdana" w:hAnsi="Verdana"/>
          <w:b/>
          <w:bCs/>
          <w:sz w:val="24"/>
          <w:szCs w:val="24"/>
        </w:rPr>
      </w:pPr>
      <w:r>
        <w:rPr>
          <w:rFonts w:ascii="Verdana" w:hAnsi="Verdana"/>
          <w:b/>
          <w:bCs/>
          <w:sz w:val="24"/>
          <w:szCs w:val="24"/>
        </w:rPr>
        <w:t>Description of Course</w:t>
      </w:r>
    </w:p>
    <w:p w:rsidR="00E94E46" w:rsidRDefault="00E94E46">
      <w:pPr>
        <w:pStyle w:val="Body"/>
        <w:spacing w:after="40"/>
        <w:ind w:left="720" w:hanging="720"/>
        <w:rPr>
          <w:rFonts w:ascii="Verdana" w:eastAsia="Verdana" w:hAnsi="Verdana" w:cs="Verdana"/>
          <w:b/>
          <w:bCs/>
          <w:sz w:val="24"/>
          <w:szCs w:val="24"/>
        </w:rPr>
      </w:pPr>
    </w:p>
    <w:p w:rsidR="000847C5" w:rsidRPr="00E94E46" w:rsidRDefault="00E9332D" w:rsidP="00E94E46">
      <w:pPr>
        <w:pStyle w:val="Body"/>
        <w:ind w:left="360"/>
        <w:rPr>
          <w:rFonts w:ascii="Verdana" w:eastAsia="Verdana" w:hAnsi="Verdana" w:cs="Verdana"/>
        </w:rPr>
      </w:pPr>
      <w:r>
        <w:rPr>
          <w:rFonts w:ascii="Verdana" w:hAnsi="Verdana"/>
        </w:rPr>
        <w:t xml:space="preserve">Continuation of MATH 122B or MATH 125. Techniques of symbolic and numerical integration, applications of the definite integral to geometry, physics, economics, and probability; differential equations from a numerical, graphical, and algebraic point of view; modeling using differential equations, </w:t>
      </w:r>
      <w:r w:rsidR="00E94E46">
        <w:rPr>
          <w:rFonts w:ascii="Verdana" w:hAnsi="Verdana"/>
        </w:rPr>
        <w:t>approximations by Taylor series.</w:t>
      </w:r>
    </w:p>
    <w:p w:rsidR="000847C5" w:rsidRDefault="000847C5" w:rsidP="00E94E46">
      <w:pPr>
        <w:pStyle w:val="Body"/>
        <w:ind w:left="518"/>
        <w:rPr>
          <w:rFonts w:ascii="Verdana" w:hAnsi="Verdana"/>
        </w:rPr>
      </w:pPr>
    </w:p>
    <w:p w:rsidR="000847C5" w:rsidRDefault="000847C5">
      <w:pPr>
        <w:pStyle w:val="Body"/>
        <w:rPr>
          <w:rFonts w:ascii="Verdana" w:eastAsia="Verdana" w:hAnsi="Verdana" w:cs="Verdana"/>
        </w:rPr>
      </w:pPr>
    </w:p>
    <w:p w:rsidR="000847C5" w:rsidRDefault="00E9332D">
      <w:pPr>
        <w:pStyle w:val="Body"/>
        <w:spacing w:after="40"/>
        <w:rPr>
          <w:rFonts w:ascii="Verdana" w:hAnsi="Verdana"/>
          <w:b/>
          <w:bCs/>
          <w:sz w:val="24"/>
          <w:szCs w:val="24"/>
        </w:rPr>
      </w:pPr>
      <w:r>
        <w:rPr>
          <w:rFonts w:ascii="Verdana" w:hAnsi="Verdana"/>
          <w:b/>
          <w:bCs/>
          <w:sz w:val="24"/>
          <w:szCs w:val="24"/>
        </w:rPr>
        <w:t>Course Materials</w:t>
      </w:r>
    </w:p>
    <w:p w:rsidR="00E94E46" w:rsidRDefault="00E94E46">
      <w:pPr>
        <w:pStyle w:val="Body"/>
        <w:spacing w:after="40"/>
        <w:rPr>
          <w:rFonts w:ascii="Verdana" w:eastAsia="Verdana" w:hAnsi="Verdana" w:cs="Verdana"/>
          <w:b/>
          <w:bCs/>
          <w:sz w:val="24"/>
          <w:szCs w:val="24"/>
        </w:rPr>
      </w:pPr>
    </w:p>
    <w:p w:rsidR="000847C5" w:rsidRDefault="00E9332D">
      <w:pPr>
        <w:pStyle w:val="Body"/>
        <w:spacing w:after="120"/>
        <w:ind w:left="360"/>
        <w:rPr>
          <w:rFonts w:ascii="Verdana" w:eastAsia="Verdana" w:hAnsi="Verdana" w:cs="Verdana"/>
        </w:rPr>
      </w:pPr>
      <w:r>
        <w:rPr>
          <w:rFonts w:ascii="Verdana" w:hAnsi="Verdana"/>
        </w:rPr>
        <w:t>The course materials include the textbook (</w:t>
      </w:r>
      <w:r>
        <w:rPr>
          <w:rFonts w:ascii="Verdana" w:hAnsi="Verdana"/>
          <w:i/>
          <w:iCs/>
        </w:rPr>
        <w:t>Calculus Single Variable</w:t>
      </w:r>
      <w:r>
        <w:rPr>
          <w:rFonts w:ascii="Verdana" w:hAnsi="Verdana"/>
        </w:rPr>
        <w:t>; Sixth Edition by Hughes-Hallett et al.; published by Wiley) and access to the online homework system (</w:t>
      </w:r>
      <w:proofErr w:type="spellStart"/>
      <w:r>
        <w:rPr>
          <w:rFonts w:ascii="Verdana" w:hAnsi="Verdana"/>
        </w:rPr>
        <w:t>WebAssign</w:t>
      </w:r>
      <w:proofErr w:type="spellEnd"/>
      <w:r>
        <w:rPr>
          <w:rFonts w:ascii="Verdana" w:hAnsi="Verdana"/>
        </w:rPr>
        <w:t xml:space="preserve">). </w:t>
      </w:r>
    </w:p>
    <w:p w:rsidR="000847C5" w:rsidRDefault="00E9332D">
      <w:pPr>
        <w:pStyle w:val="Body"/>
        <w:spacing w:after="120"/>
        <w:ind w:left="360"/>
        <w:rPr>
          <w:rFonts w:ascii="Verdana" w:eastAsia="Verdana" w:hAnsi="Verdana" w:cs="Verdana"/>
        </w:rPr>
      </w:pPr>
      <w:r>
        <w:rPr>
          <w:rFonts w:ascii="Verdana" w:hAnsi="Verdana"/>
        </w:rPr>
        <w:t>Course materials are being delivered digitally via D2L through the Inclusive Access program. Please access the material through D2L the first day of classes to make sure there are no issues in the delivery, and if you are having a problem or question it can be addressed quickly.</w:t>
      </w:r>
    </w:p>
    <w:p w:rsidR="000847C5" w:rsidRDefault="00E9332D">
      <w:pPr>
        <w:pStyle w:val="Body"/>
        <w:spacing w:after="120"/>
        <w:ind w:left="360"/>
        <w:rPr>
          <w:rFonts w:ascii="Verdana" w:eastAsia="Verdana" w:hAnsi="Verdana" w:cs="Verdana"/>
        </w:rPr>
      </w:pPr>
      <w:r>
        <w:rPr>
          <w:rFonts w:ascii="Verdana" w:hAnsi="Verdana"/>
        </w:rPr>
        <w:t xml:space="preserve">You automatically have access to the course materials FREE through September 8, 2019.  You </w:t>
      </w:r>
      <w:r>
        <w:rPr>
          <w:rFonts w:ascii="Verdana" w:hAnsi="Verdana"/>
          <w:b/>
          <w:bCs/>
        </w:rPr>
        <w:t>must</w:t>
      </w:r>
      <w:r>
        <w:rPr>
          <w:rFonts w:ascii="Verdana" w:hAnsi="Verdana"/>
        </w:rPr>
        <w:t xml:space="preserve"> take action (even if you have not accessed the materials) to opt-out if you do not wish to </w:t>
      </w:r>
      <w:r>
        <w:rPr>
          <w:rFonts w:ascii="Verdana" w:hAnsi="Verdana"/>
        </w:rPr>
        <w:lastRenderedPageBreak/>
        <w:t xml:space="preserve">pay for the materials, and choose to source the content independently. </w:t>
      </w:r>
      <w:r>
        <w:rPr>
          <w:rFonts w:ascii="Verdana" w:hAnsi="Verdana"/>
          <w:b/>
          <w:bCs/>
        </w:rPr>
        <w:t>The deadline to opt-out is 9:00pm MST, September 8, 2019. If you do not opt-out and choose to retain your access, the cost of the digital course materials will appear on your October Bursars account.</w:t>
      </w:r>
      <w:r>
        <w:rPr>
          <w:rFonts w:ascii="Verdana" w:hAnsi="Verdana"/>
        </w:rPr>
        <w:t xml:space="preserve"> Please refer to the Inclusive Access FAQs at </w:t>
      </w:r>
      <w:r>
        <w:rPr>
          <w:rFonts w:ascii="Arial Unicode MS" w:hAnsi="Arial Unicode MS"/>
        </w:rPr>
        <w:br/>
      </w:r>
      <w:hyperlink r:id="rId9" w:history="1">
        <w:r>
          <w:rPr>
            <w:rStyle w:val="Link"/>
            <w:rFonts w:ascii="Verdana" w:hAnsi="Verdana"/>
          </w:rPr>
          <w:t>https://shop.arizona.edu/textbooks/Inclusive.asp</w:t>
        </w:r>
      </w:hyperlink>
      <w:r>
        <w:rPr>
          <w:rFonts w:ascii="Verdana" w:hAnsi="Verdana"/>
        </w:rPr>
        <w:t xml:space="preserve"> for additional information.</w:t>
      </w:r>
    </w:p>
    <w:p w:rsidR="000847C5" w:rsidRDefault="00E94E46">
      <w:pPr>
        <w:pStyle w:val="Body"/>
        <w:ind w:left="360"/>
        <w:rPr>
          <w:rFonts w:ascii="Verdana" w:eastAsia="Verdana" w:hAnsi="Verdana" w:cs="Verdana"/>
          <w:color w:val="FF0000"/>
          <w:u w:color="FF0000"/>
        </w:rPr>
      </w:pPr>
      <w:r>
        <w:rPr>
          <w:rFonts w:ascii="Verdana" w:hAnsi="Verdana"/>
          <w:color w:val="FF0000"/>
          <w:u w:color="FF0000"/>
        </w:rPr>
        <w:t xml:space="preserve"> </w:t>
      </w:r>
      <w:r w:rsidR="00E9332D">
        <w:rPr>
          <w:rFonts w:ascii="Arial Unicode MS" w:hAnsi="Arial Unicode MS"/>
          <w:color w:val="FF0000"/>
          <w:u w:color="FF0000"/>
        </w:rPr>
        <w:br/>
      </w:r>
    </w:p>
    <w:p w:rsidR="000847C5" w:rsidRDefault="00E9332D">
      <w:pPr>
        <w:pStyle w:val="Body"/>
        <w:spacing w:after="40"/>
        <w:rPr>
          <w:rFonts w:ascii="Verdana" w:hAnsi="Verdana"/>
          <w:b/>
          <w:bCs/>
          <w:sz w:val="24"/>
          <w:szCs w:val="24"/>
        </w:rPr>
      </w:pPr>
      <w:r>
        <w:rPr>
          <w:rFonts w:ascii="Verdana" w:hAnsi="Verdana"/>
          <w:b/>
          <w:bCs/>
          <w:sz w:val="24"/>
          <w:szCs w:val="24"/>
        </w:rPr>
        <w:t>Required Materials</w:t>
      </w:r>
    </w:p>
    <w:p w:rsidR="00E94E46" w:rsidRDefault="00E94E46">
      <w:pPr>
        <w:pStyle w:val="Body"/>
        <w:spacing w:after="40"/>
        <w:rPr>
          <w:rFonts w:ascii="Verdana" w:eastAsia="Verdana" w:hAnsi="Verdana" w:cs="Verdana"/>
          <w:b/>
          <w:bCs/>
          <w:sz w:val="24"/>
          <w:szCs w:val="24"/>
        </w:rPr>
      </w:pPr>
    </w:p>
    <w:p w:rsidR="000847C5" w:rsidRDefault="00E9332D" w:rsidP="00E94E46">
      <w:pPr>
        <w:pStyle w:val="Body"/>
        <w:ind w:left="360"/>
        <w:rPr>
          <w:rFonts w:ascii="Verdana" w:eastAsia="Verdana" w:hAnsi="Verdana" w:cs="Verdana"/>
        </w:rPr>
      </w:pPr>
      <w:r>
        <w:rPr>
          <w:rFonts w:ascii="Verdana" w:hAnsi="Verdana"/>
        </w:rPr>
        <w:t xml:space="preserve">A graphing calculator is a tool that will be used in this course.  We recommend any model in the TI-83 or TI-84 series. Models that can perform symbolic calculations (also known as CAS) are </w:t>
      </w:r>
      <w:r>
        <w:rPr>
          <w:rFonts w:ascii="Verdana" w:hAnsi="Verdana"/>
          <w:u w:val="single"/>
        </w:rPr>
        <w:t>NOT</w:t>
      </w:r>
      <w:r>
        <w:rPr>
          <w:rFonts w:ascii="Verdana" w:hAnsi="Verdana"/>
        </w:rPr>
        <w:t xml:space="preserve"> allowed on exams and quizzes. CAS models include (but are not limited to) the TI-89, TI </w:t>
      </w:r>
      <w:proofErr w:type="spellStart"/>
      <w:r>
        <w:rPr>
          <w:rFonts w:ascii="Verdana" w:hAnsi="Verdana"/>
        </w:rPr>
        <w:t>NSpire</w:t>
      </w:r>
      <w:proofErr w:type="spellEnd"/>
      <w:r>
        <w:rPr>
          <w:rFonts w:ascii="Verdana" w:hAnsi="Verdana"/>
        </w:rPr>
        <w:t xml:space="preserve"> CAS and HP 50g. Students are not allowed to share calcul</w:t>
      </w:r>
      <w:r w:rsidR="00E94E46">
        <w:rPr>
          <w:rFonts w:ascii="Verdana" w:hAnsi="Verdana"/>
        </w:rPr>
        <w:t>ators during exams and quizzes.</w:t>
      </w:r>
    </w:p>
    <w:p w:rsidR="000847C5" w:rsidRDefault="000847C5">
      <w:pPr>
        <w:pStyle w:val="NormalWeb"/>
        <w:spacing w:before="0" w:after="0"/>
        <w:ind w:left="360"/>
        <w:rPr>
          <w:rFonts w:ascii="Verdana" w:eastAsia="Verdana" w:hAnsi="Verdana" w:cs="Verdana"/>
          <w:sz w:val="20"/>
          <w:szCs w:val="20"/>
        </w:rPr>
      </w:pPr>
    </w:p>
    <w:p w:rsidR="000847C5" w:rsidRDefault="000847C5" w:rsidP="00E94E46">
      <w:pPr>
        <w:pStyle w:val="NormalWeb"/>
        <w:spacing w:before="0" w:after="0"/>
      </w:pPr>
    </w:p>
    <w:p w:rsidR="000847C5" w:rsidRDefault="00E9332D">
      <w:pPr>
        <w:pStyle w:val="Body"/>
        <w:spacing w:after="40"/>
        <w:rPr>
          <w:rFonts w:ascii="Verdana" w:hAnsi="Verdana"/>
          <w:b/>
          <w:bCs/>
          <w:sz w:val="24"/>
          <w:szCs w:val="24"/>
        </w:rPr>
      </w:pPr>
      <w:r>
        <w:rPr>
          <w:rFonts w:ascii="Verdana" w:hAnsi="Verdana"/>
          <w:b/>
          <w:bCs/>
          <w:sz w:val="24"/>
          <w:szCs w:val="24"/>
        </w:rPr>
        <w:t>Assignments and Examinations</w:t>
      </w:r>
    </w:p>
    <w:p w:rsidR="00E94E46" w:rsidRDefault="00E94E46">
      <w:pPr>
        <w:pStyle w:val="Body"/>
        <w:spacing w:after="40"/>
        <w:rPr>
          <w:rFonts w:ascii="Verdana" w:eastAsia="Verdana" w:hAnsi="Verdana" w:cs="Verdana"/>
          <w:b/>
          <w:bCs/>
          <w:sz w:val="24"/>
          <w:szCs w:val="24"/>
        </w:rPr>
      </w:pPr>
    </w:p>
    <w:p w:rsidR="000847C5" w:rsidRDefault="00E9332D">
      <w:pPr>
        <w:pStyle w:val="Body"/>
        <w:spacing w:after="120"/>
        <w:ind w:left="360"/>
        <w:rPr>
          <w:rFonts w:ascii="Verdana" w:hAnsi="Verdana"/>
          <w:color w:val="FF0000"/>
          <w:u w:color="FF0000"/>
        </w:rPr>
      </w:pPr>
      <w:r>
        <w:rPr>
          <w:rFonts w:ascii="Verdana" w:hAnsi="Verdana"/>
          <w:b/>
          <w:bCs/>
        </w:rPr>
        <w:t>Homework:</w:t>
      </w:r>
      <w:r>
        <w:rPr>
          <w:rFonts w:ascii="Verdana" w:hAnsi="Verdana"/>
        </w:rPr>
        <w:t xml:space="preserve"> (100 points)</w:t>
      </w:r>
      <w:r>
        <w:rPr>
          <w:rFonts w:ascii="Verdana" w:hAnsi="Verdana"/>
          <w:b/>
          <w:bCs/>
        </w:rPr>
        <w:t xml:space="preserve"> </w:t>
      </w:r>
      <w:proofErr w:type="spellStart"/>
      <w:r>
        <w:rPr>
          <w:rFonts w:ascii="Verdana" w:hAnsi="Verdana"/>
        </w:rPr>
        <w:t>WebAssign</w:t>
      </w:r>
      <w:proofErr w:type="spellEnd"/>
      <w:r>
        <w:rPr>
          <w:rFonts w:ascii="Verdana" w:hAnsi="Verdana"/>
        </w:rPr>
        <w:t xml:space="preserve"> will be used for problems assigned from the text. </w:t>
      </w:r>
      <w:r w:rsidR="00E94E46">
        <w:rPr>
          <w:rFonts w:ascii="Verdana" w:hAnsi="Verdana"/>
        </w:rPr>
        <w:t xml:space="preserve">  </w:t>
      </w:r>
    </w:p>
    <w:p w:rsidR="00B62C80" w:rsidRDefault="00E94E46" w:rsidP="00B62C80">
      <w:pPr>
        <w:pStyle w:val="Body"/>
        <w:ind w:left="360"/>
        <w:rPr>
          <w:rFonts w:ascii="Verdana" w:eastAsia="Verdana" w:hAnsi="Verdana" w:cs="Verdana"/>
        </w:rPr>
      </w:pPr>
      <w:r>
        <w:rPr>
          <w:rFonts w:ascii="Verdana" w:hAnsi="Verdana"/>
          <w:b/>
          <w:bCs/>
        </w:rPr>
        <w:t xml:space="preserve">Quizzes: </w:t>
      </w:r>
      <w:r>
        <w:rPr>
          <w:rFonts w:ascii="Verdana" w:hAnsi="Verdana"/>
        </w:rPr>
        <w:t xml:space="preserve">(100 points) </w:t>
      </w:r>
      <w:proofErr w:type="gramStart"/>
      <w:r w:rsidR="00B62C80">
        <w:rPr>
          <w:rFonts w:ascii="Verdana" w:hAnsi="Verdana"/>
        </w:rPr>
        <w:t>There</w:t>
      </w:r>
      <w:proofErr w:type="gramEnd"/>
      <w:r w:rsidR="00B62C80">
        <w:rPr>
          <w:rFonts w:ascii="Verdana" w:hAnsi="Verdana"/>
        </w:rPr>
        <w:t xml:space="preserve"> will be weekly </w:t>
      </w:r>
      <w:r>
        <w:rPr>
          <w:rFonts w:ascii="Verdana" w:hAnsi="Verdana"/>
        </w:rPr>
        <w:t>quizzes</w:t>
      </w:r>
      <w:r w:rsidR="00B62C80">
        <w:rPr>
          <w:rFonts w:ascii="Verdana" w:hAnsi="Verdana"/>
        </w:rPr>
        <w:t xml:space="preserve"> </w:t>
      </w:r>
      <w:r>
        <w:rPr>
          <w:rFonts w:ascii="Verdana" w:hAnsi="Verdana"/>
        </w:rPr>
        <w:t xml:space="preserve">on </w:t>
      </w:r>
      <w:r w:rsidR="00B62C80">
        <w:rPr>
          <w:rFonts w:ascii="Verdana" w:hAnsi="Verdana"/>
        </w:rPr>
        <w:t>the top of all T</w:t>
      </w:r>
      <w:r w:rsidR="00FF5C52">
        <w:rPr>
          <w:rFonts w:ascii="Verdana" w:hAnsi="Verdana"/>
        </w:rPr>
        <w:t>hurs</w:t>
      </w:r>
      <w:r w:rsidR="00B62C80">
        <w:rPr>
          <w:rFonts w:ascii="Verdana" w:hAnsi="Verdana"/>
        </w:rPr>
        <w:t>day’s class</w:t>
      </w:r>
      <w:r>
        <w:rPr>
          <w:rFonts w:ascii="Verdana" w:hAnsi="Verdana"/>
        </w:rPr>
        <w:t>. All</w:t>
      </w:r>
      <w:r w:rsidR="00B62C80">
        <w:rPr>
          <w:rFonts w:ascii="Verdana" w:hAnsi="Verdana"/>
        </w:rPr>
        <w:t xml:space="preserve"> quiz problem are directly from homework due the previous week.</w:t>
      </w:r>
      <w:r w:rsidR="00B62C80" w:rsidRPr="00B62C80">
        <w:rPr>
          <w:rFonts w:ascii="Verdana" w:hAnsi="Verdana"/>
        </w:rPr>
        <w:t xml:space="preserve"> </w:t>
      </w:r>
      <w:r w:rsidR="00B62C80">
        <w:rPr>
          <w:rFonts w:ascii="Verdana" w:hAnsi="Verdana"/>
        </w:rPr>
        <w:t xml:space="preserve"> </w:t>
      </w:r>
    </w:p>
    <w:p w:rsidR="00B62C80" w:rsidRPr="00B62C80" w:rsidRDefault="00B62C80" w:rsidP="00B62C80">
      <w:pPr>
        <w:pStyle w:val="Body"/>
        <w:ind w:left="360"/>
        <w:rPr>
          <w:rFonts w:ascii="Verdana" w:eastAsia="Verdana" w:hAnsi="Verdana" w:cs="Verdana"/>
        </w:rPr>
      </w:pPr>
    </w:p>
    <w:p w:rsidR="000847C5" w:rsidRDefault="00B62C80">
      <w:pPr>
        <w:pStyle w:val="Body"/>
        <w:ind w:left="360"/>
        <w:rPr>
          <w:rFonts w:ascii="Verdana" w:eastAsia="Verdana" w:hAnsi="Verdana" w:cs="Verdana"/>
        </w:rPr>
      </w:pPr>
      <w:r>
        <w:rPr>
          <w:rFonts w:ascii="Verdana" w:hAnsi="Verdana"/>
          <w:b/>
          <w:bCs/>
        </w:rPr>
        <w:t>Mid-terms</w:t>
      </w:r>
      <w:r w:rsidR="00E9332D">
        <w:rPr>
          <w:rFonts w:ascii="Verdana" w:hAnsi="Verdana"/>
          <w:b/>
          <w:bCs/>
        </w:rPr>
        <w:t xml:space="preserve">: </w:t>
      </w:r>
      <w:r w:rsidR="00E94E46">
        <w:rPr>
          <w:rFonts w:ascii="Verdana" w:hAnsi="Verdana"/>
        </w:rPr>
        <w:t>(3</w:t>
      </w:r>
      <w:r w:rsidR="00E9332D">
        <w:rPr>
          <w:rFonts w:ascii="Verdana" w:hAnsi="Verdana"/>
        </w:rPr>
        <w:t xml:space="preserve">00 points) Three in-class exams are tentatively scheduled for Thursday, September 19th; Thursday, October 24th; and Thursday, December </w:t>
      </w:r>
      <w:r>
        <w:rPr>
          <w:rFonts w:ascii="Verdana" w:hAnsi="Verdana"/>
        </w:rPr>
        <w:t>5th.</w:t>
      </w:r>
    </w:p>
    <w:p w:rsidR="00B62C80" w:rsidRDefault="00B62C80">
      <w:pPr>
        <w:pStyle w:val="Body"/>
        <w:ind w:left="360"/>
        <w:rPr>
          <w:rFonts w:ascii="Verdana" w:eastAsia="Verdana" w:hAnsi="Verdana" w:cs="Verdana"/>
        </w:rPr>
      </w:pPr>
    </w:p>
    <w:p w:rsidR="000847C5" w:rsidRDefault="00B62C80">
      <w:pPr>
        <w:pStyle w:val="Body"/>
        <w:ind w:left="360"/>
        <w:rPr>
          <w:rFonts w:ascii="Verdana" w:hAnsi="Verdana"/>
        </w:rPr>
      </w:pPr>
      <w:r>
        <w:rPr>
          <w:rFonts w:ascii="Verdana" w:hAnsi="Verdana"/>
          <w:b/>
          <w:bCs/>
        </w:rPr>
        <w:t>Final Exam:</w:t>
      </w:r>
      <w:r>
        <w:rPr>
          <w:rFonts w:ascii="Arial Unicode MS" w:hAnsi="Arial Unicode MS"/>
        </w:rPr>
        <w:t xml:space="preserve"> </w:t>
      </w:r>
      <w:r>
        <w:rPr>
          <w:rFonts w:ascii="Verdana" w:hAnsi="Verdana"/>
        </w:rPr>
        <w:t>(200 points) Final Exam is a</w:t>
      </w:r>
      <w:r w:rsidR="00524A34">
        <w:rPr>
          <w:rFonts w:ascii="Verdana" w:hAnsi="Verdana"/>
        </w:rPr>
        <w:t xml:space="preserve"> comprehensive, departmental wide exam</w:t>
      </w:r>
      <w:r>
        <w:rPr>
          <w:rFonts w:ascii="Verdana" w:hAnsi="Verdana"/>
        </w:rPr>
        <w:t xml:space="preserve"> fo</w:t>
      </w:r>
      <w:r w:rsidR="001918AC">
        <w:rPr>
          <w:rFonts w:ascii="Verdana" w:hAnsi="Verdana"/>
        </w:rPr>
        <w:t>r all sections of Math129. Time: Monday, December 16</w:t>
      </w:r>
      <w:r w:rsidR="001918AC" w:rsidRPr="001918AC">
        <w:rPr>
          <w:rFonts w:ascii="Verdana" w:hAnsi="Verdana"/>
          <w:vertAlign w:val="superscript"/>
        </w:rPr>
        <w:t>th</w:t>
      </w:r>
      <w:r w:rsidR="001918AC">
        <w:rPr>
          <w:rFonts w:ascii="Verdana" w:hAnsi="Verdana"/>
        </w:rPr>
        <w:t xml:space="preserve">, 8:00-10:00. Location: </w:t>
      </w:r>
      <w:r>
        <w:rPr>
          <w:rFonts w:ascii="Verdana" w:hAnsi="Verdana"/>
        </w:rPr>
        <w:t>TBA.</w:t>
      </w:r>
    </w:p>
    <w:p w:rsidR="00B62C80" w:rsidRDefault="00B62C80">
      <w:pPr>
        <w:pStyle w:val="Body"/>
        <w:ind w:left="360"/>
      </w:pPr>
    </w:p>
    <w:p w:rsidR="00B62C80" w:rsidRDefault="00B62C80">
      <w:pPr>
        <w:pStyle w:val="Body"/>
        <w:ind w:left="360"/>
      </w:pPr>
    </w:p>
    <w:p w:rsidR="000847C5" w:rsidRDefault="00E9332D">
      <w:pPr>
        <w:pStyle w:val="Body"/>
        <w:spacing w:after="40"/>
        <w:ind w:left="720" w:hanging="720"/>
        <w:rPr>
          <w:rFonts w:ascii="Verdana" w:hAnsi="Verdana"/>
          <w:b/>
          <w:bCs/>
          <w:sz w:val="24"/>
          <w:szCs w:val="24"/>
        </w:rPr>
      </w:pPr>
      <w:r>
        <w:rPr>
          <w:rFonts w:ascii="Verdana" w:hAnsi="Verdana"/>
          <w:b/>
          <w:bCs/>
          <w:sz w:val="24"/>
          <w:szCs w:val="24"/>
        </w:rPr>
        <w:t>Grading Scale and Policies</w:t>
      </w:r>
    </w:p>
    <w:p w:rsidR="00524A34" w:rsidRDefault="00524A34">
      <w:pPr>
        <w:pStyle w:val="Body"/>
        <w:spacing w:after="40"/>
        <w:ind w:left="720" w:hanging="720"/>
        <w:rPr>
          <w:rFonts w:ascii="Verdana" w:eastAsia="Verdana" w:hAnsi="Verdana" w:cs="Verdana"/>
          <w:sz w:val="24"/>
          <w:szCs w:val="24"/>
        </w:rPr>
      </w:pPr>
    </w:p>
    <w:p w:rsidR="000847C5" w:rsidRDefault="00E9332D">
      <w:pPr>
        <w:pStyle w:val="Body"/>
        <w:spacing w:after="120"/>
        <w:ind w:left="360"/>
        <w:rPr>
          <w:rFonts w:ascii="Verdana" w:eastAsia="Verdana" w:hAnsi="Verdana" w:cs="Verdana"/>
          <w:sz w:val="18"/>
          <w:szCs w:val="18"/>
        </w:rPr>
      </w:pPr>
      <w:r>
        <w:rPr>
          <w:rFonts w:ascii="Verdana" w:hAnsi="Verdana"/>
        </w:rPr>
        <w:t>Your final course grade will be determined by a percentage of the 700</w:t>
      </w:r>
      <w:r>
        <w:rPr>
          <w:rFonts w:ascii="Verdana" w:hAnsi="Verdana"/>
          <w:color w:val="FF0000"/>
          <w:u w:color="FF0000"/>
        </w:rPr>
        <w:t xml:space="preserve"> </w:t>
      </w:r>
      <w:r>
        <w:rPr>
          <w:rFonts w:ascii="Verdana" w:hAnsi="Verdana"/>
        </w:rPr>
        <w:t>total possible points in the course.  Grades will be no lower than the follo</w:t>
      </w:r>
      <w:r>
        <w:rPr>
          <w:rFonts w:ascii="Verdana" w:hAnsi="Verdana"/>
          <w:sz w:val="18"/>
          <w:szCs w:val="18"/>
        </w:rPr>
        <w:t xml:space="preserve">wing: </w:t>
      </w:r>
    </w:p>
    <w:p w:rsidR="000847C5" w:rsidRDefault="00E9332D">
      <w:pPr>
        <w:pStyle w:val="Body"/>
        <w:spacing w:after="120"/>
        <w:ind w:left="360"/>
        <w:jc w:val="center"/>
        <w:rPr>
          <w:rFonts w:ascii="Verdana" w:eastAsia="Verdana" w:hAnsi="Verdana" w:cs="Verdana"/>
        </w:rPr>
      </w:pPr>
      <w:r>
        <w:rPr>
          <w:rFonts w:ascii="Verdana" w:hAnsi="Verdana"/>
          <w:sz w:val="18"/>
          <w:szCs w:val="18"/>
        </w:rPr>
        <w:t>A: 100-90%</w:t>
      </w:r>
      <w:r>
        <w:rPr>
          <w:rFonts w:ascii="Verdana" w:hAnsi="Verdana"/>
          <w:sz w:val="18"/>
          <w:szCs w:val="18"/>
        </w:rPr>
        <w:tab/>
        <w:t>B: 89-80%</w:t>
      </w:r>
      <w:r>
        <w:rPr>
          <w:rFonts w:ascii="Verdana" w:hAnsi="Verdana"/>
          <w:sz w:val="18"/>
          <w:szCs w:val="18"/>
        </w:rPr>
        <w:tab/>
        <w:t>C: 79-70%</w:t>
      </w:r>
      <w:r>
        <w:rPr>
          <w:rFonts w:ascii="Verdana" w:hAnsi="Verdana"/>
          <w:sz w:val="18"/>
          <w:szCs w:val="18"/>
        </w:rPr>
        <w:tab/>
        <w:t>D: 69-60%</w:t>
      </w:r>
      <w:r>
        <w:rPr>
          <w:rFonts w:ascii="Verdana" w:hAnsi="Verdana"/>
          <w:sz w:val="18"/>
          <w:szCs w:val="18"/>
        </w:rPr>
        <w:tab/>
        <w:t>E: 59-0%</w:t>
      </w:r>
      <w:r>
        <w:rPr>
          <w:rFonts w:ascii="Verdana" w:hAnsi="Verdana"/>
        </w:rPr>
        <w:t xml:space="preserve"> </w:t>
      </w:r>
    </w:p>
    <w:p w:rsidR="000847C5" w:rsidRDefault="00E9332D">
      <w:pPr>
        <w:pStyle w:val="Body"/>
        <w:spacing w:after="120"/>
        <w:ind w:left="360"/>
        <w:rPr>
          <w:rFonts w:ascii="Verdana" w:eastAsia="Verdana" w:hAnsi="Verdana" w:cs="Verdana"/>
        </w:rPr>
      </w:pPr>
      <w:r>
        <w:rPr>
          <w:rFonts w:ascii="Verdana" w:hAnsi="Verdana"/>
        </w:rPr>
        <w:t xml:space="preserve">No extra credit or bonus points are offered in this course. </w:t>
      </w:r>
    </w:p>
    <w:p w:rsidR="000847C5" w:rsidRDefault="00524A34" w:rsidP="00524A34">
      <w:pPr>
        <w:pStyle w:val="NormalWeb"/>
        <w:spacing w:before="0" w:after="40"/>
        <w:ind w:left="360"/>
      </w:pPr>
      <w:r>
        <w:rPr>
          <w:rFonts w:ascii="Verdana" w:eastAsia="Verdana" w:hAnsi="Verdana" w:cs="Verdana"/>
          <w:color w:val="FF0000"/>
          <w:sz w:val="20"/>
          <w:szCs w:val="20"/>
          <w:u w:color="FF0000"/>
        </w:rPr>
        <w:t xml:space="preserve">  </w:t>
      </w:r>
    </w:p>
    <w:p w:rsidR="000847C5" w:rsidRDefault="000847C5">
      <w:pPr>
        <w:pStyle w:val="Body"/>
        <w:spacing w:after="40"/>
        <w:ind w:left="720" w:hanging="720"/>
      </w:pPr>
    </w:p>
    <w:p w:rsidR="000847C5" w:rsidRDefault="000847C5">
      <w:pPr>
        <w:pStyle w:val="Body"/>
        <w:spacing w:after="40"/>
        <w:ind w:left="720" w:hanging="720"/>
      </w:pPr>
    </w:p>
    <w:p w:rsidR="000847C5" w:rsidRDefault="000847C5">
      <w:pPr>
        <w:pStyle w:val="Body"/>
        <w:spacing w:after="40"/>
        <w:ind w:left="720" w:hanging="720"/>
      </w:pPr>
    </w:p>
    <w:p w:rsidR="000847C5" w:rsidRDefault="000847C5">
      <w:pPr>
        <w:pStyle w:val="Body"/>
        <w:spacing w:after="40"/>
        <w:ind w:left="720" w:hanging="720"/>
      </w:pPr>
    </w:p>
    <w:p w:rsidR="000847C5" w:rsidRDefault="000847C5">
      <w:pPr>
        <w:pStyle w:val="Body"/>
        <w:spacing w:after="40"/>
        <w:ind w:left="720" w:hanging="720"/>
      </w:pPr>
    </w:p>
    <w:p w:rsidR="000847C5" w:rsidRDefault="000847C5">
      <w:pPr>
        <w:pStyle w:val="Body"/>
        <w:spacing w:after="40"/>
        <w:ind w:left="720" w:hanging="720"/>
      </w:pPr>
    </w:p>
    <w:p w:rsidR="000847C5" w:rsidRDefault="000847C5">
      <w:pPr>
        <w:pStyle w:val="Body"/>
        <w:spacing w:after="40"/>
        <w:ind w:left="720" w:hanging="720"/>
      </w:pPr>
    </w:p>
    <w:p w:rsidR="000847C5" w:rsidRDefault="000847C5">
      <w:pPr>
        <w:pStyle w:val="Body"/>
        <w:spacing w:after="40"/>
        <w:ind w:left="720" w:hanging="720"/>
      </w:pPr>
    </w:p>
    <w:p w:rsidR="000847C5" w:rsidRDefault="000847C5">
      <w:pPr>
        <w:pStyle w:val="Body"/>
        <w:spacing w:after="40"/>
        <w:ind w:left="720" w:hanging="720"/>
      </w:pPr>
    </w:p>
    <w:p w:rsidR="000847C5" w:rsidRDefault="000847C5">
      <w:pPr>
        <w:pStyle w:val="Body"/>
        <w:spacing w:after="40"/>
        <w:ind w:left="720" w:hanging="720"/>
      </w:pPr>
    </w:p>
    <w:p w:rsidR="000847C5" w:rsidRDefault="000847C5">
      <w:pPr>
        <w:pStyle w:val="Body"/>
        <w:spacing w:after="40"/>
        <w:ind w:left="720" w:hanging="720"/>
      </w:pPr>
    </w:p>
    <w:p w:rsidR="000847C5" w:rsidRDefault="000847C5">
      <w:pPr>
        <w:pStyle w:val="Body"/>
        <w:spacing w:after="40"/>
        <w:ind w:left="720" w:hanging="720"/>
      </w:pPr>
    </w:p>
    <w:p w:rsidR="000847C5" w:rsidRDefault="000847C5">
      <w:pPr>
        <w:pStyle w:val="Body"/>
        <w:spacing w:after="40"/>
        <w:ind w:left="720" w:hanging="720"/>
      </w:pPr>
    </w:p>
    <w:p w:rsidR="000847C5" w:rsidRDefault="000847C5">
      <w:pPr>
        <w:pStyle w:val="Body"/>
        <w:spacing w:after="40"/>
        <w:ind w:left="720" w:hanging="720"/>
      </w:pPr>
    </w:p>
    <w:p w:rsidR="000847C5" w:rsidRDefault="000847C5">
      <w:pPr>
        <w:pStyle w:val="Body"/>
        <w:spacing w:after="40"/>
        <w:ind w:left="720" w:hanging="720"/>
      </w:pPr>
    </w:p>
    <w:p w:rsidR="000847C5" w:rsidRDefault="000847C5">
      <w:pPr>
        <w:pStyle w:val="Body"/>
        <w:spacing w:after="40"/>
        <w:ind w:left="720" w:hanging="720"/>
      </w:pPr>
    </w:p>
    <w:p w:rsidR="000847C5" w:rsidRDefault="00DF5D52">
      <w:pPr>
        <w:pStyle w:val="Body"/>
        <w:ind w:left="360"/>
      </w:pPr>
      <w:r>
        <w:t xml:space="preserve"> </w:t>
      </w:r>
    </w:p>
    <w:sectPr w:rsidR="000847C5" w:rsidSect="003F14A8">
      <w:headerReference w:type="default" r:id="rId10"/>
      <w:footerReference w:type="default" r:id="rId11"/>
      <w:headerReference w:type="first" r:id="rId12"/>
      <w:footerReference w:type="first" r:id="rId13"/>
      <w:pgSz w:w="12240" w:h="15840"/>
      <w:pgMar w:top="1008" w:right="1008" w:bottom="1008" w:left="1008" w:header="576"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D53" w:rsidRDefault="004A6D53">
      <w:r>
        <w:separator/>
      </w:r>
    </w:p>
  </w:endnote>
  <w:endnote w:type="continuationSeparator" w:id="0">
    <w:p w:rsidR="004A6D53" w:rsidRDefault="004A6D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7C5" w:rsidRDefault="00BE72D8">
    <w:pPr>
      <w:pStyle w:val="Footer"/>
      <w:jc w:val="center"/>
    </w:pPr>
    <w:r>
      <w:fldChar w:fldCharType="begin"/>
    </w:r>
    <w:r w:rsidR="00E9332D">
      <w:instrText xml:space="preserve"> PAGE </w:instrText>
    </w:r>
    <w:r>
      <w:fldChar w:fldCharType="separate"/>
    </w:r>
    <w:r w:rsidR="001918AC">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7C5" w:rsidRDefault="000847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D53" w:rsidRDefault="004A6D53">
      <w:r>
        <w:separator/>
      </w:r>
    </w:p>
  </w:footnote>
  <w:footnote w:type="continuationSeparator" w:id="0">
    <w:p w:rsidR="004A6D53" w:rsidRDefault="004A6D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7C5" w:rsidRDefault="000847C5">
    <w:pPr>
      <w:pStyle w:val="HeaderFoo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7C5" w:rsidRDefault="00E9332D">
    <w:pPr>
      <w:pStyle w:val="Header"/>
      <w:jc w:val="center"/>
    </w:pPr>
    <w:r>
      <w:rPr>
        <w:rFonts w:ascii="Tahoma" w:hAnsi="Tahoma"/>
        <w:noProof/>
        <w:lang w:eastAsia="zh-CN"/>
      </w:rPr>
      <w:drawing>
        <wp:inline distT="0" distB="0" distL="0" distR="0">
          <wp:extent cx="3649401" cy="8648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3649401" cy="864875"/>
                  </a:xfrm>
                  <a:prstGeom prst="rect">
                    <a:avLst/>
                  </a:prstGeom>
                  <a:ln w="12700" cap="flat">
                    <a:noFill/>
                    <a:miter lim="400000"/>
                  </a:ln>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B2914"/>
    <w:multiLevelType w:val="hybridMultilevel"/>
    <w:tmpl w:val="36EC7220"/>
    <w:styleLink w:val="Bullets"/>
    <w:lvl w:ilvl="0" w:tplc="C1AC59F2">
      <w:start w:val="1"/>
      <w:numFmt w:val="bullet"/>
      <w:lvlText w:val="•"/>
      <w:lvlJc w:val="left"/>
      <w:pPr>
        <w:ind w:left="51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1B02673A">
      <w:start w:val="1"/>
      <w:numFmt w:val="bullet"/>
      <w:lvlText w:val="•"/>
      <w:lvlJc w:val="left"/>
      <w:pPr>
        <w:ind w:left="111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821E34AA">
      <w:start w:val="1"/>
      <w:numFmt w:val="bullet"/>
      <w:lvlText w:val="•"/>
      <w:lvlJc w:val="left"/>
      <w:pPr>
        <w:ind w:left="171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C2D63372">
      <w:start w:val="1"/>
      <w:numFmt w:val="bullet"/>
      <w:lvlText w:val="•"/>
      <w:lvlJc w:val="left"/>
      <w:pPr>
        <w:ind w:left="231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F1003E2A">
      <w:start w:val="1"/>
      <w:numFmt w:val="bullet"/>
      <w:lvlText w:val="•"/>
      <w:lvlJc w:val="left"/>
      <w:pPr>
        <w:ind w:left="291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2E8AE552">
      <w:start w:val="1"/>
      <w:numFmt w:val="bullet"/>
      <w:lvlText w:val="•"/>
      <w:lvlJc w:val="left"/>
      <w:pPr>
        <w:ind w:left="351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01FEE64C">
      <w:start w:val="1"/>
      <w:numFmt w:val="bullet"/>
      <w:lvlText w:val="•"/>
      <w:lvlJc w:val="left"/>
      <w:pPr>
        <w:ind w:left="411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8B769CF8">
      <w:start w:val="1"/>
      <w:numFmt w:val="bullet"/>
      <w:lvlText w:val="•"/>
      <w:lvlJc w:val="left"/>
      <w:pPr>
        <w:ind w:left="471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4526567C">
      <w:start w:val="1"/>
      <w:numFmt w:val="bullet"/>
      <w:lvlText w:val="•"/>
      <w:lvlJc w:val="left"/>
      <w:pPr>
        <w:ind w:left="531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98379DA"/>
    <w:multiLevelType w:val="hybridMultilevel"/>
    <w:tmpl w:val="36EC7220"/>
    <w:numStyleLink w:val="Bullets"/>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0847C5"/>
    <w:rsid w:val="000847C5"/>
    <w:rsid w:val="001918AC"/>
    <w:rsid w:val="0029719B"/>
    <w:rsid w:val="003226F0"/>
    <w:rsid w:val="003F14A8"/>
    <w:rsid w:val="004A6D53"/>
    <w:rsid w:val="00524A34"/>
    <w:rsid w:val="0085552F"/>
    <w:rsid w:val="00B62C80"/>
    <w:rsid w:val="00BC1CB3"/>
    <w:rsid w:val="00BE72D8"/>
    <w:rsid w:val="00DF5D52"/>
    <w:rsid w:val="00E9332D"/>
    <w:rsid w:val="00E94E46"/>
    <w:rsid w:val="00EB5080"/>
    <w:rsid w:val="00FA70FA"/>
    <w:rsid w:val="00FF5C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F14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14A8"/>
    <w:rPr>
      <w:u w:val="single"/>
    </w:rPr>
  </w:style>
  <w:style w:type="paragraph" w:customStyle="1" w:styleId="HeaderFooter">
    <w:name w:val="Header &amp; Footer"/>
    <w:rsid w:val="003F14A8"/>
    <w:pPr>
      <w:tabs>
        <w:tab w:val="right" w:pos="9020"/>
      </w:tabs>
    </w:pPr>
    <w:rPr>
      <w:rFonts w:ascii="Helvetica" w:hAnsi="Helvetica" w:cs="Arial Unicode MS"/>
      <w:color w:val="000000"/>
      <w:sz w:val="24"/>
      <w:szCs w:val="24"/>
    </w:rPr>
  </w:style>
  <w:style w:type="paragraph" w:styleId="Footer">
    <w:name w:val="footer"/>
    <w:rsid w:val="003F14A8"/>
    <w:pPr>
      <w:widowControl w:val="0"/>
      <w:tabs>
        <w:tab w:val="center" w:pos="4320"/>
        <w:tab w:val="right" w:pos="8640"/>
      </w:tabs>
    </w:pPr>
    <w:rPr>
      <w:rFonts w:cs="Arial Unicode MS"/>
      <w:color w:val="000000"/>
      <w:u w:color="000000"/>
    </w:rPr>
  </w:style>
  <w:style w:type="paragraph" w:styleId="Header">
    <w:name w:val="header"/>
    <w:rsid w:val="003F14A8"/>
    <w:pPr>
      <w:widowControl w:val="0"/>
      <w:tabs>
        <w:tab w:val="center" w:pos="4320"/>
        <w:tab w:val="right" w:pos="8640"/>
      </w:tabs>
    </w:pPr>
    <w:rPr>
      <w:rFonts w:cs="Arial Unicode MS"/>
      <w:color w:val="000000"/>
      <w:u w:color="000000"/>
    </w:rPr>
  </w:style>
  <w:style w:type="paragraph" w:customStyle="1" w:styleId="Body">
    <w:name w:val="Body"/>
    <w:rsid w:val="003F14A8"/>
    <w:pPr>
      <w:widowControl w:val="0"/>
    </w:pPr>
    <w:rPr>
      <w:rFonts w:cs="Arial Unicode MS"/>
      <w:color w:val="000000"/>
      <w:u w:color="000000"/>
    </w:rPr>
  </w:style>
  <w:style w:type="character" w:customStyle="1" w:styleId="Link">
    <w:name w:val="Link"/>
    <w:rsid w:val="003F14A8"/>
    <w:rPr>
      <w:outline w:val="0"/>
      <w:color w:val="0000FF"/>
      <w:u w:val="single" w:color="0000FF"/>
    </w:rPr>
  </w:style>
  <w:style w:type="character" w:customStyle="1" w:styleId="Hyperlink0">
    <w:name w:val="Hyperlink.0"/>
    <w:basedOn w:val="Link"/>
    <w:rsid w:val="003F14A8"/>
    <w:rPr>
      <w:rFonts w:ascii="Verdana" w:eastAsia="Verdana" w:hAnsi="Verdana" w:cs="Verdana"/>
      <w:outline w:val="0"/>
      <w:color w:val="0433FF"/>
      <w:u w:val="single" w:color="000000"/>
    </w:rPr>
  </w:style>
  <w:style w:type="numbering" w:customStyle="1" w:styleId="Bullets">
    <w:name w:val="Bullets"/>
    <w:rsid w:val="003F14A8"/>
    <w:pPr>
      <w:numPr>
        <w:numId w:val="1"/>
      </w:numPr>
    </w:pPr>
  </w:style>
  <w:style w:type="character" w:customStyle="1" w:styleId="Hyperlink1">
    <w:name w:val="Hyperlink.1"/>
    <w:basedOn w:val="Link"/>
    <w:rsid w:val="003F14A8"/>
    <w:rPr>
      <w:rFonts w:ascii="Verdana" w:eastAsia="Verdana" w:hAnsi="Verdana" w:cs="Verdana"/>
      <w:outline w:val="0"/>
      <w:color w:val="0000FF"/>
      <w:u w:val="single" w:color="0000FF"/>
    </w:rPr>
  </w:style>
  <w:style w:type="paragraph" w:styleId="NormalWeb">
    <w:name w:val="Normal (Web)"/>
    <w:rsid w:val="003F14A8"/>
    <w:pPr>
      <w:spacing w:before="100" w:after="100"/>
    </w:pPr>
    <w:rPr>
      <w:rFonts w:cs="Arial Unicode MS"/>
      <w:color w:val="000000"/>
      <w:sz w:val="24"/>
      <w:szCs w:val="24"/>
      <w:u w:color="000000"/>
    </w:rPr>
  </w:style>
  <w:style w:type="character" w:customStyle="1" w:styleId="Hyperlink2">
    <w:name w:val="Hyperlink.2"/>
    <w:basedOn w:val="Link"/>
    <w:rsid w:val="003F14A8"/>
    <w:rPr>
      <w:rFonts w:ascii="Verdana" w:eastAsia="Verdana" w:hAnsi="Verdana" w:cs="Verdana"/>
      <w:outline w:val="0"/>
      <w:color w:val="0000FF"/>
      <w:sz w:val="20"/>
      <w:szCs w:val="20"/>
      <w:u w:val="single" w:color="0000FF"/>
    </w:rPr>
  </w:style>
  <w:style w:type="paragraph" w:styleId="ListParagraph">
    <w:name w:val="List Paragraph"/>
    <w:rsid w:val="003F14A8"/>
    <w:pPr>
      <w:widowControl w:val="0"/>
      <w:ind w:left="720"/>
    </w:pPr>
    <w:rPr>
      <w:rFonts w:cs="Arial Unicode MS"/>
      <w:color w:val="000000"/>
      <w:u w:color="000000"/>
    </w:rPr>
  </w:style>
  <w:style w:type="paragraph" w:styleId="BalloonText">
    <w:name w:val="Balloon Text"/>
    <w:basedOn w:val="Normal"/>
    <w:link w:val="BalloonTextChar"/>
    <w:uiPriority w:val="99"/>
    <w:semiHidden/>
    <w:unhideWhenUsed/>
    <w:rsid w:val="00FF5C52"/>
    <w:rPr>
      <w:rFonts w:ascii="Tahoma" w:hAnsi="Tahoma" w:cs="Tahoma"/>
      <w:sz w:val="16"/>
      <w:szCs w:val="16"/>
    </w:rPr>
  </w:style>
  <w:style w:type="character" w:customStyle="1" w:styleId="BalloonTextChar">
    <w:name w:val="Balloon Text Char"/>
    <w:basedOn w:val="DefaultParagraphFont"/>
    <w:link w:val="BalloonText"/>
    <w:uiPriority w:val="99"/>
    <w:semiHidden/>
    <w:rsid w:val="00FF5C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dwang@math.arizona.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ath129.math.arizona.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hop.arizona.edu/textbooks/Inclusive.asp"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dwang</dc:creator>
  <cp:lastModifiedBy>math</cp:lastModifiedBy>
  <cp:revision>6</cp:revision>
  <dcterms:created xsi:type="dcterms:W3CDTF">2019-08-26T18:41:00Z</dcterms:created>
  <dcterms:modified xsi:type="dcterms:W3CDTF">2019-12-03T14:00:00Z</dcterms:modified>
</cp:coreProperties>
</file>